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A65DB" w:rsidRDefault="009A65DB" w:rsidP="009A65DB">
      <w:r>
        <w:t>Inge Roman</w:t>
      </w:r>
    </w:p>
    <w:p w:rsidR="009A65DB" w:rsidRDefault="009A65DB" w:rsidP="009A65DB"/>
    <w:p w:rsidR="009A65DB" w:rsidRPr="00594634" w:rsidRDefault="009A65DB" w:rsidP="009A65DB">
      <w:pPr>
        <w:pStyle w:val="Lijstalinea"/>
        <w:numPr>
          <w:ilvl w:val="0"/>
          <w:numId w:val="2"/>
        </w:numPr>
      </w:pPr>
      <w:r w:rsidRPr="00594634">
        <w:t>Kuiper, C., Verhoef, J., Cox. K., de Louw, D. (2012) Evidence-based Practice voor Paramedici, 3de editie. Den Haag: Boom Lemma uitgevers.</w:t>
      </w:r>
    </w:p>
    <w:p w:rsidR="009A65DB" w:rsidRPr="00594634" w:rsidRDefault="009A65DB" w:rsidP="009A65DB">
      <w:pPr>
        <w:pStyle w:val="Lijstalinea"/>
        <w:numPr>
          <w:ilvl w:val="0"/>
          <w:numId w:val="2"/>
        </w:numPr>
      </w:pPr>
      <w:r w:rsidRPr="00594634">
        <w:t>DePoy, E &amp; Gitlin, L. (2015) Introduction to Research: understanding and applying multiple strategies 5th ed. London: Mosby.</w:t>
      </w:r>
    </w:p>
    <w:p w:rsidR="009A65DB" w:rsidRPr="00594634" w:rsidRDefault="009A65DB" w:rsidP="009A65DB">
      <w:pPr>
        <w:pStyle w:val="Lijstalinea"/>
        <w:numPr>
          <w:ilvl w:val="0"/>
          <w:numId w:val="2"/>
        </w:numPr>
      </w:pPr>
      <w:r w:rsidRPr="00594634">
        <w:t>de Jong, A., De Maesschalck, L.,  Legius, M., Vandenbroele, H. (2016) Inleiding wetenschappelijk onderzoek voor het gezondheidsonderwijs, 6de druk. Houten: Bohn Stafleu van Loghum</w:t>
      </w:r>
    </w:p>
    <w:p w:rsidR="009A65DB" w:rsidRPr="00594634" w:rsidRDefault="009A65DB" w:rsidP="009A65DB">
      <w:pPr>
        <w:pStyle w:val="Lijstalinea"/>
        <w:numPr>
          <w:ilvl w:val="0"/>
          <w:numId w:val="2"/>
        </w:numPr>
      </w:pPr>
      <w:r w:rsidRPr="00594634">
        <w:t>Licciardone J.C. (2007) Responding to the challenge of clinically relevant osteopathic research: efficacy and beyond. Int J Osteop Med 10(1): 1-106</w:t>
      </w:r>
    </w:p>
    <w:p w:rsidR="009A65DB" w:rsidRPr="00594634" w:rsidRDefault="009A65DB" w:rsidP="009A65DB">
      <w:pPr>
        <w:pStyle w:val="Lijstalinea"/>
        <w:numPr>
          <w:ilvl w:val="0"/>
          <w:numId w:val="2"/>
        </w:numPr>
      </w:pPr>
      <w:r w:rsidRPr="00594634">
        <w:t>Lunghi C, Baroni F. (2019) Cynefin Framework for Evidence-Informed Clinical Reasoning and Decision-Making. J Am Osteopath Assoc;119(5):312-321. </w:t>
      </w:r>
    </w:p>
    <w:p w:rsidR="009A65DB" w:rsidRDefault="009A65DB" w:rsidP="009A65DB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9A65DB" w:rsidRDefault="009A65DB" w:rsidP="009A65DB">
      <w:r>
        <w:t>Philippe Wynter</w:t>
      </w:r>
    </w:p>
    <w:p w:rsidR="009A65DB" w:rsidRDefault="009A65DB" w:rsidP="009A65DB"/>
    <w:p w:rsidR="009A65DB" w:rsidRPr="00594634" w:rsidRDefault="009A65DB" w:rsidP="009A65DB">
      <w:pPr>
        <w:pStyle w:val="Lijstalinea"/>
        <w:numPr>
          <w:ilvl w:val="0"/>
          <w:numId w:val="1"/>
        </w:numPr>
      </w:pPr>
      <w:r w:rsidRPr="00594634">
        <w:t>Carreiro J., 2009. An Osteopathic Approach to Children - 2nd Edition. Elsevier.</w:t>
      </w:r>
    </w:p>
    <w:p w:rsidR="009A65DB" w:rsidRPr="00594634" w:rsidRDefault="009A65DB" w:rsidP="009A65DB">
      <w:pPr>
        <w:pStyle w:val="Lijstalinea"/>
        <w:numPr>
          <w:ilvl w:val="0"/>
          <w:numId w:val="1"/>
        </w:numPr>
      </w:pPr>
      <w:r w:rsidRPr="00594634">
        <w:t xml:space="preserve">European Committee for Standardization, 2014. Osteopathic healthcare provision CEN/TC 414. </w:t>
      </w:r>
      <w:hyperlink r:id="rId5" w:history="1">
        <w:r w:rsidRPr="00594634">
          <w:rPr>
            <w:rStyle w:val="Hyperlink"/>
            <w:rFonts w:eastAsia="Times New Roman"/>
          </w:rPr>
          <w:t>https://standards.cen.eu/index.html</w:t>
        </w:r>
      </w:hyperlink>
    </w:p>
    <w:p w:rsidR="009A65DB" w:rsidRPr="00594634" w:rsidRDefault="009A65DB" w:rsidP="009A65DB">
      <w:pPr>
        <w:pStyle w:val="Lijstalinea"/>
        <w:numPr>
          <w:ilvl w:val="0"/>
          <w:numId w:val="1"/>
        </w:numPr>
      </w:pPr>
      <w:r w:rsidRPr="00594634">
        <w:t>Frank JR, Snell L, Sherbino J, editors. CanMEDS 2015 Physician Competency Framework. Ottawa: Royal College of Physicians and Surgeons of Canada; 2015</w:t>
      </w:r>
    </w:p>
    <w:p w:rsidR="009A65DB" w:rsidRPr="00594634" w:rsidRDefault="009A65DB" w:rsidP="009A65DB">
      <w:pPr>
        <w:pStyle w:val="Lijstalinea"/>
        <w:numPr>
          <w:ilvl w:val="0"/>
          <w:numId w:val="1"/>
        </w:numPr>
      </w:pPr>
      <w:r w:rsidRPr="00594634">
        <w:t xml:space="preserve">General Osteopatic Council, 2012. Osteopahic Practice Standards. London: General Osteopatic Council; 2012standards·      </w:t>
      </w:r>
      <w:hyperlink r:id="rId6" w:history="1">
        <w:r w:rsidRPr="00594634">
          <w:rPr>
            <w:rStyle w:val="Hyperlink"/>
            <w:rFonts w:eastAsia="Times New Roman"/>
          </w:rPr>
          <w:t>http://www.osteopathy.org.uk/news-and-resources/document-library/osteopathic-practice-standards/osteopathic-practice-standards/</w:t>
        </w:r>
      </w:hyperlink>
    </w:p>
    <w:p w:rsidR="009A65DB" w:rsidRPr="00594634" w:rsidRDefault="009A65DB" w:rsidP="009A65DB">
      <w:pPr>
        <w:pStyle w:val="Lijstalinea"/>
        <w:numPr>
          <w:ilvl w:val="0"/>
          <w:numId w:val="1"/>
        </w:numPr>
        <w:rPr>
          <w:u w:val="single"/>
        </w:rPr>
      </w:pPr>
      <w:hyperlink r:id="rId7" w:history="1">
        <w:r w:rsidRPr="00594634">
          <w:rPr>
            <w:rStyle w:val="Hyperlink"/>
            <w:rFonts w:eastAsia="Times New Roman"/>
          </w:rPr>
          <w:t>http://canmeds.royalcollege.ca/uploads/en/framework/CanMEDS%202015%20Framework_EN_Reduced.pdf</w:t>
        </w:r>
      </w:hyperlink>
    </w:p>
    <w:p w:rsidR="009A65DB" w:rsidRPr="00594634" w:rsidRDefault="009A65DB" w:rsidP="009A65DB">
      <w:pPr>
        <w:pStyle w:val="Lijstalinea"/>
        <w:numPr>
          <w:ilvl w:val="0"/>
          <w:numId w:val="1"/>
        </w:numPr>
      </w:pPr>
      <w:r w:rsidRPr="00594634">
        <w:t>Hayes, N.M., Bezilla, T.A., 2006. Incidence of iatrogenesis associated with osteopathic manipulative treatment of pediatric patients. J Am Osteopath Assoc 106, 605–608.</w:t>
      </w:r>
    </w:p>
    <w:p w:rsidR="009A65DB" w:rsidRPr="00594634" w:rsidRDefault="009A65DB" w:rsidP="009A65DB">
      <w:pPr>
        <w:pStyle w:val="Lijstalinea"/>
        <w:numPr>
          <w:ilvl w:val="0"/>
          <w:numId w:val="1"/>
        </w:numPr>
      </w:pPr>
      <w:r w:rsidRPr="00594634">
        <w:t xml:space="preserve">Humphreys, B.K., 2010. Possible adverse events in children treated by manual therapy: a review. Chiropr Osteopat 18, 12. </w:t>
      </w:r>
      <w:hyperlink r:id="rId8" w:history="1">
        <w:r w:rsidRPr="00594634">
          <w:rPr>
            <w:rStyle w:val="Hyperlink"/>
            <w:rFonts w:eastAsia="Times New Roman"/>
          </w:rPr>
          <w:t>https://doi.org/10.1186/1746-1340-18-12</w:t>
        </w:r>
      </w:hyperlink>
    </w:p>
    <w:p w:rsidR="009A65DB" w:rsidRPr="00594634" w:rsidRDefault="009A65DB" w:rsidP="009A65DB">
      <w:pPr>
        <w:pStyle w:val="Lijstalinea"/>
        <w:numPr>
          <w:ilvl w:val="0"/>
          <w:numId w:val="1"/>
        </w:numPr>
      </w:pPr>
      <w:r w:rsidRPr="00594634">
        <w:t>Moeckel E. and Mitha N., 2008. Textbook of Pediatric Osteopathy, 1e, Illustrated edition. ed. Churchill Livingstone.</w:t>
      </w:r>
    </w:p>
    <w:p w:rsidR="009A65DB" w:rsidRPr="00594634" w:rsidRDefault="009A65DB" w:rsidP="009A65DB">
      <w:pPr>
        <w:pStyle w:val="Lijstalinea"/>
        <w:numPr>
          <w:ilvl w:val="0"/>
          <w:numId w:val="1"/>
        </w:numPr>
      </w:pPr>
      <w:r w:rsidRPr="00594634">
        <w:t>Sergueef N., 2007. Cranial Osteopathy for Infants, Children and Adolescents - 1st Edition. Elsevier</w:t>
      </w:r>
    </w:p>
    <w:p w:rsidR="009A65DB" w:rsidRPr="00594634" w:rsidRDefault="009A65DB" w:rsidP="009A65DB">
      <w:pPr>
        <w:pStyle w:val="Lijstalinea"/>
        <w:numPr>
          <w:ilvl w:val="0"/>
          <w:numId w:val="1"/>
        </w:numPr>
      </w:pPr>
      <w:r w:rsidRPr="00594634">
        <w:t>World Health Organization, 2010. Benchmarks for training in osteopathy: benchmarks for training in traditional complementary and alternative medicine. World Health Organization, Geneva.</w:t>
      </w:r>
      <w:hyperlink r:id="rId9" w:history="1">
        <w:r w:rsidRPr="00594634">
          <w:rPr>
            <w:rStyle w:val="Hyperlink"/>
            <w:rFonts w:eastAsia="Times New Roman"/>
          </w:rPr>
          <w:t>https://www.who.int/medicines/areas/traditional/BenchmarksforTraininginOsteopathy.pdf</w:t>
        </w:r>
      </w:hyperlink>
    </w:p>
    <w:p w:rsidR="009A65DB" w:rsidRDefault="009A65DB" w:rsidP="009A65DB"/>
    <w:p w:rsidR="006B15BE" w:rsidRDefault="009A65DB"/>
    <w:sectPr w:rsidR="006B15BE" w:rsidSect="003D77B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A25E11"/>
    <w:multiLevelType w:val="hybridMultilevel"/>
    <w:tmpl w:val="FFB088A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CC3B3A"/>
    <w:multiLevelType w:val="hybridMultilevel"/>
    <w:tmpl w:val="B564682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5DB"/>
    <w:rsid w:val="00024B73"/>
    <w:rsid w:val="003D77B9"/>
    <w:rsid w:val="009A65DB"/>
    <w:rsid w:val="00AF6FDE"/>
    <w:rsid w:val="00B1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D8C9EED6-8C6F-B745-90BD-269A3442E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A65DB"/>
    <w:rPr>
      <w:rFonts w:ascii="Times New Roman" w:eastAsia="Times New Roman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9A65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9A65DB"/>
    <w:pPr>
      <w:ind w:left="720"/>
      <w:contextualSpacing/>
    </w:pPr>
    <w:rPr>
      <w:rFonts w:asciiTheme="minorHAnsi" w:eastAsiaTheme="minorHAnsi" w:hAnsiTheme="minorHAnsi" w:cstheme="minorBidi"/>
      <w:lang w:val="nl-NL" w:eastAsia="en-US"/>
    </w:rPr>
  </w:style>
  <w:style w:type="character" w:styleId="Hyperlink">
    <w:name w:val="Hyperlink"/>
    <w:basedOn w:val="Standaardalinea-lettertype"/>
    <w:uiPriority w:val="99"/>
    <w:unhideWhenUsed/>
    <w:rsid w:val="009A65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186/1746-1340-18-1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anmeds.royalcollege.ca/uploads/en/framework/CanMEDS%202015%20Framework_EN_Reduced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teopathy.org.uk/news-and-resources/document-library/osteopathic-practice-standards/osteopathic-practice-standards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tandards.cen.eu/index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who.int/medicines/areas/traditional/BenchmarksforTraininginOsteopathy.pdf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422</Words>
  <Characters>2324</Characters>
  <Application>Microsoft Office Word</Application>
  <DocSecurity>0</DocSecurity>
  <Lines>19</Lines>
  <Paragraphs>5</Paragraphs>
  <ScaleCrop>false</ScaleCrop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wouter van stee</dc:creator>
  <cp:keywords/>
  <dc:description/>
  <cp:lastModifiedBy>wouter van stee</cp:lastModifiedBy>
  <cp:revision>1</cp:revision>
  <dcterms:created xsi:type="dcterms:W3CDTF">2020-11-11T17:34:00Z</dcterms:created>
  <dcterms:modified xsi:type="dcterms:W3CDTF">2020-11-11T17:34:00Z</dcterms:modified>
</cp:coreProperties>
</file>